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68" w:type="dxa"/>
        <w:tblW w:w="10898" w:type="dxa"/>
        <w:pPr>
          <w:ind w:left="-68"/>
        </w:pPr>
        <w:tblLook w:val="04A0" w:firstRow="1" w:lastRow="0" w:firstColumn="1" w:lastColumn="0" w:noHBand="0" w:noVBand="1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898" w:type="dxa"/>
            <w:gridSpan w:val="10"/>
            <w:tmTcPr id="1782361351" protected="0"/>
          </w:tcPr>
          <w:p>
            <w:pPr>
              <w:ind w:left="-68"/>
              <w:spacing/>
              <w:jc w:val="center"/>
              <w:rPr>
                <w:lang w:val="en-us" w:eastAsia="en-us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3390" cy="7188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B608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/////3////7/////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gIAAGw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-50" t="-30" r="-50" b="-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88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898" w:type="dxa"/>
            <w:gridSpan w:val="10"/>
            <w:tcMar>
              <w:right w:w="946" w:type="dxa"/>
            </w:tcMar>
            <w:tmTcPr id="1782361351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tabs defTabSz="708">
                <w:tab w:val="left" w:pos="9241" w:leader="none"/>
              </w:tabs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898" w:type="dxa"/>
            <w:gridSpan w:val="10"/>
            <w:tmTcPr id="1782361351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898" w:type="dxa"/>
            <w:gridSpan w:val="10"/>
            <w:tmTcPr id="1782361351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45" w:type="dxa"/>
            <w:tmTcPr id="1782361351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tmTcPr id="1782361351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tmTcPr id="1782361351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82361351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>2</w:t>
            </w:r>
            <w:r/>
            <w:bookmarkEnd w:id="2"/>
            <w:r/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tmTcPr id="178236135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8236135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10" w:type="dxa"/>
            <w:tmTcPr id="178236135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898" w:type="dxa"/>
            <w:gridSpan w:val="10"/>
            <w:tmTcPr id="1782361351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03.12.2025 №1153 «Об утверждении муниципальной программы «Развитие культуры Анжеро-Судженского городского округа»</w:t>
      </w:r>
      <w:r/>
    </w:p>
    <w:p>
      <w:pPr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 и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области-Кузбасса и признании утратившими силу некоторых постановлений администрации Анжеро-Судженского городского округа» (в редакции постановления от 28.08.2025 № 878), в связи с изменениями бюджетных ассигнований управления культуры администрации Анжеро-Судженского городского округа: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Анжеро-Судженского городского округа от 03.12.2025 № 1153 «Об утверждении муниципальной программы «Развитие культуры Анжеро-Судженского городского округа» (в редакции постановления от 30.01.2026 № 46) следующие изменения: 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1.1. Разделы 2. «Показатели муниципальной программы», 3. «Помесячный план достижения показателей муниципальной программы в 2026 году» Паспорта муниципальной программы «Развитие культуры Анжеро-Судженского городского округа» изложить в новой редакции согласно приложению № 1 к настоящему постановлению.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1.2. Разделы 2. «Показатели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мероприятий», 3. «План достижения показателей комплекса процессных мероприятий в 2026 году», 4. «Перечень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мероприятий»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«Создание условий для развития деятельности учреждений культуры на территории Анжеро-Судженского городского округа» изложить в новой редакции согласно приложению № 2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 Разделы 2. «Показатели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мероприятий», 3. «План достижения показателей комплекса процессных мероприятий в 2026 году», 4. «Перечень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мероприятий»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«Укрепление единства российской нации, формирование общероссийской гражданской идентичности и этнокультурное развитие народов на территории Анжеро-Судженского городского округа» изложить в новой редакции согласно приложению № 3 к настоящему постановлению.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1.4 Финансовое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изложить в новой редакции согласно приложению № 4 к настоящему постановлению.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1.5. Финансовое обеспечение комплекса процессных мероприятий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«Создание условий для развития деятельности учреждений культуры на территории Анжеро-Судженского городского округа» изложить в новой редакции согласно приложению № 5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культуры администрации Анжеро-Судженского городского округа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 w:history="1">
        <w:r>
          <w:rPr>
            <w:rStyle w:val="char8"/>
            <w:sz w:val="28"/>
            <w:szCs w:val="28"/>
          </w:rPr>
          <w:t>http://gasu.gov.ru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Анжеро-Судженского городского округа, электронный адрес: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9" w:history="1">
        <w:r>
          <w:rPr>
            <w:rStyle w:val="char8"/>
            <w:sz w:val="28"/>
            <w:szCs w:val="28"/>
            <w:lang w:val="en-us"/>
          </w:rPr>
          <w:t>anzhero</w:t>
        </w:r>
        <w:r>
          <w:rPr>
            <w:rStyle w:val="char8"/>
            <w:sz w:val="28"/>
            <w:szCs w:val="28"/>
          </w:rPr>
          <w:t>.</w:t>
        </w:r>
        <w:r>
          <w:rPr>
            <w:rStyle w:val="char8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Д.В. Ажичаков</w:t>
      </w:r>
    </w:p>
    <w:p>
      <w:pPr>
        <w:spacing/>
        <w:jc w:val="both"/>
        <w:tabs defTabSz="708">
          <w:tab w:val="left" w:pos="-1077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pStyle w:val="para17"/>
        <w:rPr>
          <w:u w:color="auto" w:val="single"/>
        </w:rPr>
      </w:pPr>
      <w:r>
        <w:rPr>
          <w:u w:color="auto" w:val="single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type w:val="nextPage"/>
          <w:pgSz w:h="16838" w:w="11906"/>
          <w:pgMar w:left="1701" w:top="1134" w:right="851" w:bottom="1134" w:header="0" w:foot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                          № 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ind w:left="0"/>
        <w:spacing/>
        <w:jc w:val="center"/>
      </w:pPr>
      <w:r>
        <w:t>2. Показатели муниципальной программы</w:t>
      </w:r>
    </w:p>
    <w:p>
      <w:pPr>
        <w:ind w:left="142"/>
        <w:spacing/>
        <w:jc w:val="both"/>
      </w:pPr>
      <w:r/>
    </w:p>
    <w:tbl>
      <w:tblPr>
        <w:tblStyle w:val="NormalTable"/>
        <w:name w:val="Таблица2"/>
        <w:tabOrder w:val="0"/>
        <w:jc w:val="center"/>
        <w:tblInd w:w="0" w:type="dxa"/>
        <w:tblW w:w="14879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423"/>
        <w:gridCol w:w="1982"/>
        <w:gridCol w:w="851"/>
        <w:gridCol w:w="1134"/>
        <w:gridCol w:w="1275"/>
        <w:gridCol w:w="709"/>
        <w:gridCol w:w="709"/>
        <w:gridCol w:w="567"/>
        <w:gridCol w:w="567"/>
        <w:gridCol w:w="567"/>
        <w:gridCol w:w="567"/>
        <w:gridCol w:w="567"/>
        <w:gridCol w:w="1559"/>
        <w:gridCol w:w="1559"/>
        <w:gridCol w:w="1843"/>
      </w:tblGrid>
      <w:tr>
        <w:trPr>
          <w:tblHeader w:val="0"/>
          <w:cantSplit w:val="0"/>
          <w:trHeight w:val="440" w:hRule="atLeast"/>
        </w:trPr>
        <w:tc>
          <w:tcPr>
            <w:tcW w:w="42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198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pacing w:val="-37" w:percent="55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Наименование 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7" w:percent="55"/>
                <w:sz w:val="18"/>
                <w:szCs w:val="18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(</w:t>
            </w:r>
            <w:r>
              <w:rPr>
                <w:spacing w:val="-1" w:percent="99"/>
                <w:sz w:val="18"/>
                <w:szCs w:val="18"/>
                <w:lang w:eastAsia="zh-cn"/>
              </w:rPr>
              <w:t>по</w:t>
            </w:r>
            <w:r>
              <w:rPr>
                <w:spacing w:val="-9" w:percent="8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283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Документ</w:t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 достижение показателя (участник программы)</w:t>
            </w: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Связь с показателями национальных целей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42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98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85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3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27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55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55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84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295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56" w:type="dxa"/>
            <w:gridSpan w:val="1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left="142" w:firstLine="0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зданий учреждений культуры, находящихся в удовлетворительном состоянии, в общем количестве зданий данных учреждений </w:t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Возрастание 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Распоряжение Правительства Российской Федерации от 29.02.2016 №326-р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left="142" w:firstLine="12"/>
              <w:spacing/>
              <w:jc w:val="center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  <w:tc>
          <w:tcPr>
            <w:tcW w:w="14456" w:type="dxa"/>
            <w:gridSpan w:val="1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Увеличение числа посещений организаций культуры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удовлетворённости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Распоряжение Правительства Российской Федерации от 29.02.2016 №326-р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посещений организаций культуры до 111,4 млн единиц в год к концу 2030 года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Отношение средней заработной платы работников учреждений культуры к средней заработной плате работников по муниципальному образованию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Перечень поручений Президента Российской Федерации от 27.02.2019 № Пр-294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456" w:type="dxa"/>
            <w:gridSpan w:val="14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Анжеро-Судженского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3.1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Доля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30,5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Указ Президента Российской Федерации от 19.12.2012 №1666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обеспечение успешной социальной и культурной адаптации иностранных граждан в Российской Федерации и их интеграции в российское общество и увеличение доли граждан, не испытывающих негативного отношения к иностранным гражданам, на территории Кемеровской области – Кузбасса до 80 процентов к 2030 году»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5670" w:leader="none"/>
        </w:tabs>
      </w:pPr>
      <w:r>
        <w:t>3. Помесячный план достижения показателей муниципальной программы в 2026 году</w:t>
      </w:r>
    </w:p>
    <w:p>
      <w:pPr>
        <w:ind w:left="142"/>
        <w:spacing/>
        <w:jc w:val="both"/>
      </w:pPr>
      <w:r/>
    </w:p>
    <w:tbl>
      <w:tblPr>
        <w:tblStyle w:val="NormalTable"/>
        <w:name w:val="Таблица3"/>
        <w:tabOrder w:val="0"/>
        <w:jc w:val="left"/>
        <w:tblInd w:w="-147" w:type="dxa"/>
        <w:tblW w:w="14847" w:type="dxa"/>
        <w:pPr>
          <w:ind w:left="-147"/>
        </w:pPr>
        <w:tblLook w:val="04A0" w:firstRow="1" w:lastRow="0" w:firstColumn="1" w:lastColumn="0" w:noHBand="0" w:noVBand="1"/>
      </w:tblPr>
      <w:tblGrid>
        <w:gridCol w:w="395"/>
        <w:gridCol w:w="2933"/>
        <w:gridCol w:w="1185"/>
        <w:gridCol w:w="1145"/>
        <w:gridCol w:w="779"/>
        <w:gridCol w:w="909"/>
        <w:gridCol w:w="620"/>
        <w:gridCol w:w="782"/>
        <w:gridCol w:w="511"/>
        <w:gridCol w:w="650"/>
        <w:gridCol w:w="642"/>
        <w:gridCol w:w="744"/>
        <w:gridCol w:w="979"/>
        <w:gridCol w:w="884"/>
        <w:gridCol w:w="800"/>
        <w:gridCol w:w="889"/>
      </w:tblGrid>
      <w:tr>
        <w:trPr>
          <w:tblHeader w:val="0"/>
          <w:cantSplit w:val="0"/>
          <w:trHeight w:val="334" w:hRule="atLeast"/>
        </w:trPr>
        <w:tc>
          <w:tcPr>
            <w:tcW w:w="39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9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Показатели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муниципальной программы</w:t>
            </w:r>
          </w:p>
        </w:tc>
        <w:tc>
          <w:tcPr>
            <w:tcW w:w="118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                    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300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значения 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88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iCs/>
                <w:sz w:val="18"/>
                <w:szCs w:val="18"/>
                <w:lang w:eastAsia="zh-cn"/>
              </w:rPr>
              <w:t xml:space="preserve">2026 </w:t>
            </w:r>
            <w:r>
              <w:rPr>
                <w:sz w:val="18"/>
                <w:szCs w:val="18"/>
                <w:lang w:eastAsia="zh-cn"/>
              </w:rPr>
              <w:t>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16" w:hRule="atLeast"/>
        </w:trPr>
        <w:tc>
          <w:tcPr>
            <w:tcW w:w="39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9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8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4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8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452" w:type="dxa"/>
            <w:gridSpan w:val="15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  <w:r>
              <w:rPr>
                <w:sz w:val="18"/>
                <w:szCs w:val="18"/>
              </w:rPr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452" w:type="dxa"/>
            <w:gridSpan w:val="1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tabs defTabSz="708">
                <w:tab w:val="left" w:pos="3583" w:leader="none"/>
              </w:tabs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 xml:space="preserve">Увеличение числа посещений организаций культуры 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Уровень удовлетворенности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Отношение средней заработной платы работников учреждений культуры к средней заработной плате работников по муниципальному образованию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452" w:type="dxa"/>
            <w:gridSpan w:val="15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3.1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Доля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 (нарастающим итогом)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7,7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19,8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31,9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                          №  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hyphenationLines w:val="1"/>
      </w:pPr>
      <w:r>
        <w:t>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ind w:left="360"/>
        <w:spacing/>
        <w:jc w:val="center"/>
      </w:pPr>
      <w:r/>
    </w:p>
    <w:tbl>
      <w:tblPr>
        <w:tblStyle w:val="NormalTable"/>
        <w:name w:val="Таблица4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76"/>
        <w:gridCol w:w="2104"/>
        <w:gridCol w:w="1350"/>
        <w:gridCol w:w="1387"/>
        <w:gridCol w:w="1300"/>
        <w:gridCol w:w="996"/>
        <w:gridCol w:w="814"/>
        <w:gridCol w:w="935"/>
        <w:gridCol w:w="1010"/>
        <w:gridCol w:w="942"/>
        <w:gridCol w:w="919"/>
        <w:gridCol w:w="935"/>
        <w:gridCol w:w="1855"/>
      </w:tblGrid>
      <w:tr>
        <w:trPr>
          <w:tblHeader w:val="0"/>
          <w:cantSplit w:val="0"/>
          <w:trHeight w:val="264" w:hRule="atLeast"/>
        </w:trPr>
        <w:tc>
          <w:tcPr>
            <w:tcW w:w="57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10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показателя/задачи</w:t>
            </w:r>
            <w:r>
              <w:rPr>
                <w:sz w:val="18"/>
                <w:szCs w:val="18"/>
              </w:rPr>
            </w:r>
          </w:p>
        </w:tc>
        <w:tc>
          <w:tcPr>
            <w:tcW w:w="135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38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pacing w:val="-33" w:percent="6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     </w:t>
            </w:r>
            <w:r>
              <w:rPr>
                <w:spacing w:val="-33" w:percent="60"/>
                <w:sz w:val="18"/>
                <w:szCs w:val="18"/>
                <w:lang w:eastAsia="zh-cn"/>
              </w:rPr>
            </w:r>
          </w:p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pacing w:val="-1" w:percent="99"/>
                <w:sz w:val="18"/>
                <w:szCs w:val="18"/>
                <w:lang w:eastAsia="zh-cn"/>
              </w:rPr>
              <w:t>(по</w:t>
            </w:r>
            <w:r>
              <w:rPr>
                <w:spacing w:val="-8" w:percent="9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810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</w:t>
            </w:r>
            <w:r/>
            <w:bookmarkStart w:id="3" w:name="_bookmark7"/>
            <w:r/>
            <w:bookmarkEnd w:id="3"/>
            <w:r/>
            <w:r>
              <w:rPr>
                <w:sz w:val="18"/>
                <w:szCs w:val="18"/>
                <w:lang w:eastAsia="zh-cn"/>
              </w:rPr>
              <w:t>е</w:t>
            </w:r>
            <w:r>
              <w:rPr>
                <w:sz w:val="18"/>
                <w:szCs w:val="18"/>
              </w:rPr>
            </w:r>
          </w:p>
        </w:tc>
        <w:tc>
          <w:tcPr>
            <w:tcW w:w="474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показателей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достижение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 (участник муниципальной программы)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7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10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5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8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0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2028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5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489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47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«Развитие культуры»</w:t>
            </w:r>
          </w:p>
        </w:tc>
      </w:tr>
      <w:tr>
        <w:trPr>
          <w:tblHeader w:val="0"/>
          <w:cantSplit w:val="0"/>
          <w:trHeight w:val="353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547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убывание</w:t>
            </w:r>
            <w:r>
              <w:rPr>
                <w:color w:val="ff0000"/>
                <w:sz w:val="18"/>
                <w:szCs w:val="18"/>
                <w:lang w:eastAsia="zh-cn"/>
              </w:rPr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фактической обеспеченности учреждениями культуры в зависимости от нормативной потребности в т.ч.: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Клубами и учреждениями клубного типа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50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Библиотеками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Парками культуры и отдыха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547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числа посещений организаций культуры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удовлетворённости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Посещаемость музейных учреждений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посещений</w:t>
            </w:r>
          </w:p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на 1 жителя в год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0,65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0,67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0,71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0,73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0,75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Посещаемость муниципальных библиотек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посещений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282004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296104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310909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326454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342777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359916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5207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5259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5285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5311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5337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ind w:left="142"/>
        <w:spacing/>
        <w:jc w:val="center"/>
        <w:tabs defTabSz="708">
          <w:tab w:val="left" w:pos="3544" w:leader="none"/>
        </w:tabs>
      </w:pPr>
      <w:r/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hyphenationLines w:val="1"/>
        <w:tabs defTabSz="708">
          <w:tab w:val="left" w:pos="3544" w:leader="none"/>
        </w:tabs>
      </w:pPr>
      <w:r>
        <w:t>План достижения показателей комплекса процессных мероприятий в 2026 году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5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40"/>
        <w:gridCol w:w="2326"/>
        <w:gridCol w:w="1287"/>
        <w:gridCol w:w="1198"/>
        <w:gridCol w:w="785"/>
        <w:gridCol w:w="916"/>
        <w:gridCol w:w="652"/>
        <w:gridCol w:w="788"/>
        <w:gridCol w:w="509"/>
        <w:gridCol w:w="705"/>
        <w:gridCol w:w="647"/>
        <w:gridCol w:w="750"/>
        <w:gridCol w:w="987"/>
        <w:gridCol w:w="891"/>
        <w:gridCol w:w="806"/>
        <w:gridCol w:w="1383"/>
      </w:tblGrid>
      <w:tr>
        <w:trPr>
          <w:tblHeader/>
          <w:cantSplit w:val="0"/>
          <w:trHeight w:val="349" w:hRule="atLeast"/>
        </w:trPr>
        <w:tc>
          <w:tcPr>
            <w:tcW w:w="54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 п/п</w:t>
            </w:r>
            <w:r>
              <w:rPr>
                <w:sz w:val="18"/>
                <w:szCs w:val="18"/>
              </w:rPr>
            </w:r>
          </w:p>
        </w:tc>
        <w:tc>
          <w:tcPr>
            <w:tcW w:w="232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Показатели комплекса процессных мероприятий</w:t>
            </w:r>
            <w:r>
              <w:rPr>
                <w:sz w:val="18"/>
                <w:szCs w:val="18"/>
              </w:rPr>
            </w:r>
          </w:p>
        </w:tc>
        <w:tc>
          <w:tcPr>
            <w:tcW w:w="1287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9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</w:p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436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 значения по 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138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 2026 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/>
          <w:cantSplit w:val="0"/>
          <w:trHeight w:val="661" w:hRule="atLeast"/>
        </w:trPr>
        <w:tc>
          <w:tcPr>
            <w:tcW w:w="54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32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287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9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138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</w:t>
            </w:r>
            <w:r>
              <w:rPr>
                <w:sz w:val="18"/>
                <w:szCs w:val="18"/>
              </w:rPr>
            </w:r>
          </w:p>
        </w:tc>
        <w:tc>
          <w:tcPr>
            <w:tcW w:w="14630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cyan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highlight w:val="cyan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фактической обеспеченности учреждениями культуры в зависимости от нормативной потребности в т.ч.: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Клубами и учреждениями клубного типа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Библиотеками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Парками культуры и отдыха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4630" w:type="dxa"/>
            <w:gridSpan w:val="15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посещений организаций культуры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удовлетворенности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Посещаемость музейных учреждений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посещений</w:t>
            </w:r>
            <w:r>
              <w:rPr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0,17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0,33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0,47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0,67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2.3.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Посещаемость муниципальных библиотек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посещений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9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76300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76600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296104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tabs defTabSz="708">
          <w:tab w:val="left" w:pos="8220" w:leader="none"/>
        </w:tabs>
      </w:pPr>
      <w:r>
        <w:t>Перечень</w:t>
      </w:r>
      <w:r>
        <w:rPr>
          <w:spacing w:val="-4" w:percent="96"/>
        </w:rPr>
        <w:t xml:space="preserve"> </w:t>
      </w:r>
      <w:r>
        <w:t>мероприятий</w:t>
      </w:r>
      <w:r>
        <w:rPr>
          <w:spacing w:val="-6" w:percent="95"/>
        </w:rPr>
        <w:t xml:space="preserve"> </w:t>
      </w:r>
      <w:r>
        <w:t>(результатов)</w:t>
      </w:r>
      <w:r>
        <w:rPr>
          <w:spacing w:val="-4" w:percent="96"/>
        </w:rPr>
        <w:t xml:space="preserve"> </w:t>
      </w:r>
      <w:r>
        <w:t>комплекса</w:t>
      </w:r>
      <w:r>
        <w:rPr>
          <w:spacing w:val="-1" w:percent="99"/>
        </w:rPr>
        <w:t xml:space="preserve"> </w:t>
      </w:r>
      <w:r>
        <w:t>процессных</w:t>
      </w:r>
      <w:r>
        <w:rPr>
          <w:spacing w:val="-6" w:percent="95"/>
        </w:rPr>
        <w:t xml:space="preserve"> </w:t>
      </w:r>
      <w:r>
        <w:t>мероприятий</w:t>
      </w:r>
    </w:p>
    <w:p>
      <w:pPr>
        <w:spacing/>
        <w:jc w:val="center"/>
        <w:tabs defTabSz="708">
          <w:tab w:val="left" w:pos="8220" w:leader="none"/>
        </w:tabs>
      </w:pPr>
      <w:r/>
    </w:p>
    <w:p>
      <w:pPr>
        <w:spacing/>
        <w:jc w:val="center"/>
        <w:tabs defTabSz="708">
          <w:tab w:val="left" w:pos="8220" w:leader="none"/>
        </w:tabs>
      </w:pPr>
      <w:r/>
    </w:p>
    <w:tbl>
      <w:tblPr>
        <w:tblStyle w:val="NormalTable"/>
        <w:name w:val="Таблица6"/>
        <w:tabOrder w:val="0"/>
        <w:jc w:val="center"/>
        <w:tblInd w:w="0" w:type="dxa"/>
        <w:tblW w:w="1516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20"/>
        <w:gridCol w:w="2284"/>
        <w:gridCol w:w="1624"/>
        <w:gridCol w:w="3607"/>
        <w:gridCol w:w="1196"/>
        <w:gridCol w:w="1037"/>
        <w:gridCol w:w="692"/>
        <w:gridCol w:w="848"/>
        <w:gridCol w:w="845"/>
        <w:gridCol w:w="870"/>
        <w:gridCol w:w="813"/>
        <w:gridCol w:w="824"/>
      </w:tblGrid>
      <w:tr>
        <w:trPr>
          <w:tblHeader w:val="0"/>
          <w:cantSplit w:val="0"/>
          <w:trHeight w:val="404" w:hRule="atLeast"/>
        </w:trPr>
        <w:tc>
          <w:tcPr>
            <w:tcW w:w="52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№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п/п</w:t>
            </w:r>
            <w:r>
              <w:rPr>
                <w:sz w:val="22"/>
                <w:szCs w:val="22"/>
              </w:rPr>
            </w:r>
          </w:p>
        </w:tc>
        <w:tc>
          <w:tcPr>
            <w:tcW w:w="228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Наименование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Тип</w:t>
            </w:r>
            <w:r>
              <w:rPr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мероприятий</w:t>
            </w:r>
            <w:r>
              <w:rPr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Характеристика</w:t>
            </w:r>
            <w:r>
              <w:rPr>
                <w:sz w:val="22"/>
                <w:szCs w:val="22"/>
              </w:rPr>
            </w:r>
          </w:p>
        </w:tc>
        <w:tc>
          <w:tcPr>
            <w:tcW w:w="119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Единица измерения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(по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ОКЕИ)</w:t>
            </w: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Базовое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значение</w:t>
            </w:r>
            <w:r>
              <w:rPr>
                <w:sz w:val="22"/>
                <w:szCs w:val="22"/>
              </w:rPr>
            </w:r>
          </w:p>
        </w:tc>
        <w:tc>
          <w:tcPr>
            <w:tcW w:w="4200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Значения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773" w:hRule="atLeast"/>
        </w:trPr>
        <w:tc>
          <w:tcPr>
            <w:tcW w:w="52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28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62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360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9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значение</w:t>
            </w:r>
            <w:r>
              <w:rPr>
                <w:sz w:val="22"/>
                <w:szCs w:val="22"/>
              </w:rPr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год</w:t>
            </w:r>
            <w:r>
              <w:rPr>
                <w:sz w:val="22"/>
                <w:szCs w:val="22"/>
              </w:rPr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>
        <w:trPr>
          <w:tblHeader w:val="0"/>
          <w:cantSplit w:val="0"/>
          <w:trHeight w:val="58" w:hRule="atLeast"/>
        </w:trPr>
        <w:tc>
          <w:tcPr>
            <w:tcW w:w="14336" w:type="dxa"/>
            <w:gridSpan w:val="11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highlight w:val="cyan"/>
                <w:sz w:val="22"/>
                <w:szCs w:val="22"/>
              </w:rPr>
            </w:pPr>
            <w:r>
              <w:rPr>
                <w:color w:val="000000"/>
                <w:spacing w:val="-2" w:percent="98"/>
                <w:sz w:val="22"/>
                <w:szCs w:val="22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highlight w:val="cyan"/>
                <w:sz w:val="22"/>
                <w:szCs w:val="22"/>
              </w:rPr>
            </w:r>
          </w:p>
        </w:tc>
        <w:tc>
          <w:tcPr>
            <w:tcW w:w="8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мероприятий по определению технического состояния объектов и выявлена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степени сохранности объектов культурного наследия, находящихся в муниципальной собственности, и необходимости проведения мероприятий по их консервации или реставрации.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объектов культурного наследия, находящихся в муниципальной собственности и требующих консервации или реставрации, к общему количеству объектов культурного наследия, находящихся в муниципальной собственности.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процент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18,2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18,2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1.2 </w:t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управления в сфере культуры 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анализа по определению уровня фактической обеспеченности учреждениями культуры в зависимости от нормативной потребности в т.ч.: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hyphenationLines w:val="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к</w:t>
            </w:r>
            <w:r>
              <w:rPr>
                <w:sz w:val="22"/>
                <w:szCs w:val="22"/>
              </w:rPr>
              <w:t>лубами и учреждениями клубного типа.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учреждений клубного типа к потребности в учреждениях клубного типа 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125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б</w:t>
            </w:r>
            <w:r>
              <w:rPr>
                <w:sz w:val="22"/>
                <w:szCs w:val="22"/>
              </w:rPr>
              <w:t>иблиотеками</w:t>
            </w:r>
            <w:r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библиотек к потребности в библиотеках×100%.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п</w:t>
            </w:r>
            <w:r>
              <w:rPr>
                <w:sz w:val="22"/>
                <w:szCs w:val="22"/>
              </w:rPr>
              <w:t>арками культуры и отдыха.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парков культуры и отдыха к потребности в парках×100%.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336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2. Увеличение числа посещений организаций культуры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highlight w:val="yellow"/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highlight w:val="yellow"/>
                <w:sz w:val="22"/>
                <w:szCs w:val="22"/>
              </w:rPr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числа посещений муниципальных учреждений культуры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муниципальных учреждений культуры.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Результатом является </w:t>
            </w:r>
            <w:r>
              <w:rPr>
                <w:sz w:val="22"/>
                <w:szCs w:val="22"/>
              </w:rPr>
              <w:t>уровень удовлетворенности граждан городского округа качеством предоставления муниципальных услуг в сфере культуры.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посещаемости музейных учреждений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мероприятий музейных учреждений.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посещений музейных учреждений.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жителя в год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0,65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0,67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0,71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0,73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0,75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contextualSpacing/>
              <w:hyphenationLines w:val="1"/>
              <w:keepNext/>
              <w:keepLines/>
              <w:rPr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посещаемости муниципальных библиотек</w:t>
            </w:r>
            <w:r>
              <w:rPr>
                <w:kern w:val="1"/>
                <w:sz w:val="22"/>
                <w:szCs w:val="22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муниципальных библиотек.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посещений муниципальных библиотек.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посещений</w:t>
            </w:r>
            <w:r>
              <w:rPr>
                <w:sz w:val="22"/>
                <w:szCs w:val="22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282004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296104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310909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326454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342777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359916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увеличение количества участников клубных формирований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клубных формирований.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участников клубных формирований.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человек</w:t>
            </w:r>
            <w:r>
              <w:rPr>
                <w:sz w:val="22"/>
                <w:szCs w:val="22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5207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5233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5259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5285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5311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5337</w:t>
            </w:r>
          </w:p>
        </w:tc>
      </w:tr>
    </w:tbl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spacing/>
        <w:jc w:val="right"/>
        <w:rPr>
          <w:sz w:val="28"/>
          <w:szCs w:val="28"/>
        </w:rPr>
      </w:pPr>
      <w:r/>
      <w:bookmarkStart w:id="4" w:name="_GoBack"/>
      <w:r/>
      <w:bookmarkEnd w:id="4"/>
      <w:r/>
      <w:r>
        <w:rPr>
          <w:sz w:val="28"/>
          <w:szCs w:val="28"/>
        </w:rPr>
        <w:t>Приложение № 3</w:t>
      </w: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                          №  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7"/>
        </w:numPr>
        <w:ind w:left="720" w:hanging="360"/>
        <w:spacing/>
        <w:jc w:val="center"/>
        <w:hyphenationLines w:val="1"/>
      </w:pPr>
      <w:r>
        <w:t>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ind w:left="360"/>
        <w:spacing/>
        <w:jc w:val="center"/>
      </w:pPr>
      <w:r/>
    </w:p>
    <w:tbl>
      <w:tblPr>
        <w:tblStyle w:val="NormalTable"/>
        <w:name w:val="Таблица7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83"/>
        <w:gridCol w:w="2033"/>
        <w:gridCol w:w="1350"/>
        <w:gridCol w:w="1400"/>
        <w:gridCol w:w="1304"/>
        <w:gridCol w:w="996"/>
        <w:gridCol w:w="828"/>
        <w:gridCol w:w="938"/>
        <w:gridCol w:w="1017"/>
        <w:gridCol w:w="946"/>
        <w:gridCol w:w="922"/>
        <w:gridCol w:w="938"/>
        <w:gridCol w:w="1868"/>
      </w:tblGrid>
      <w:tr>
        <w:trPr>
          <w:tblHeader w:val="0"/>
          <w:cantSplit w:val="0"/>
          <w:trHeight w:val="264" w:hRule="atLeast"/>
        </w:trPr>
        <w:tc>
          <w:tcPr>
            <w:tcW w:w="58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0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5" w:percent="94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показателя/задачи</w:t>
            </w:r>
            <w:r>
              <w:rPr>
                <w:sz w:val="18"/>
                <w:szCs w:val="18"/>
              </w:rPr>
            </w:r>
          </w:p>
        </w:tc>
        <w:tc>
          <w:tcPr>
            <w:tcW w:w="135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40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30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(</w:t>
            </w:r>
            <w:r>
              <w:rPr>
                <w:spacing w:val="-1" w:percent="99"/>
                <w:sz w:val="18"/>
                <w:szCs w:val="18"/>
                <w:lang w:eastAsia="zh-cn"/>
              </w:rPr>
              <w:t>по</w:t>
            </w:r>
            <w:r>
              <w:rPr>
                <w:spacing w:val="-9" w:percent="8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824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476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показателей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86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достижение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 (участник муниципальной программы)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8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0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5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40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0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  <w:r>
              <w:rPr>
                <w:sz w:val="18"/>
                <w:szCs w:val="18"/>
              </w:rPr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2028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6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573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40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zh-cn"/>
              </w:rPr>
              <w:t>Подпрограмма «Реализация государственной национальной политики на территории Анжеро-Судженского городского округа»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53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540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 w:right="198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</w:p>
        </w:tc>
      </w:tr>
      <w:tr>
        <w:trPr>
          <w:tblHeader w:val="0"/>
          <w:cantSplit w:val="0"/>
          <w:trHeight w:val="1299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мероприятий, направленных на этнокультурное развитие наций и народностей России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4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13900</w:t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 с привлечением иностранных граждан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4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ind w:left="142"/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pStyle w:val="para13"/>
        <w:ind w:left="0"/>
        <w:spacing/>
        <w:jc w:val="center"/>
        <w:tabs defTabSz="708">
          <w:tab w:val="left" w:pos="3544" w:leader="none"/>
        </w:tabs>
      </w:pPr>
      <w:r>
        <w:t>3. План достижения показателей комплекса процессных мероприятий в 2026 году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8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71"/>
        <w:gridCol w:w="2303"/>
        <w:gridCol w:w="1176"/>
        <w:gridCol w:w="1158"/>
        <w:gridCol w:w="785"/>
        <w:gridCol w:w="916"/>
        <w:gridCol w:w="598"/>
        <w:gridCol w:w="788"/>
        <w:gridCol w:w="509"/>
        <w:gridCol w:w="655"/>
        <w:gridCol w:w="647"/>
        <w:gridCol w:w="750"/>
        <w:gridCol w:w="987"/>
        <w:gridCol w:w="891"/>
        <w:gridCol w:w="806"/>
        <w:gridCol w:w="1630"/>
      </w:tblGrid>
      <w:tr>
        <w:trPr>
          <w:tblHeader/>
          <w:cantSplit w:val="0"/>
          <w:trHeight w:val="349" w:hRule="atLeast"/>
        </w:trPr>
        <w:tc>
          <w:tcPr>
            <w:tcW w:w="571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 п/п</w:t>
            </w:r>
            <w:r>
              <w:rPr>
                <w:sz w:val="18"/>
                <w:szCs w:val="18"/>
              </w:rPr>
            </w:r>
          </w:p>
        </w:tc>
        <w:tc>
          <w:tcPr>
            <w:tcW w:w="230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Показатели комплекса процессных мероприятий</w:t>
            </w:r>
            <w:r>
              <w:rPr>
                <w:sz w:val="18"/>
                <w:szCs w:val="18"/>
              </w:rPr>
            </w:r>
          </w:p>
        </w:tc>
        <w:tc>
          <w:tcPr>
            <w:tcW w:w="117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5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</w:p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332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 значения по 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 2026 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/>
          <w:cantSplit w:val="0"/>
          <w:trHeight w:val="661" w:hRule="atLeast"/>
        </w:trPr>
        <w:tc>
          <w:tcPr>
            <w:tcW w:w="571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30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7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5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</w:t>
            </w:r>
            <w:r>
              <w:rPr>
                <w:sz w:val="18"/>
                <w:szCs w:val="18"/>
              </w:rPr>
            </w:r>
          </w:p>
        </w:tc>
        <w:tc>
          <w:tcPr>
            <w:tcW w:w="14599" w:type="dxa"/>
            <w:gridSpan w:val="15"/>
            <w:vAlign w:val="center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cyan"/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 xml:space="preserve"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 </w:t>
            </w:r>
            <w:r>
              <w:rPr>
                <w:highlight w:val="cyan"/>
                <w:color w:val="000000"/>
                <w:spacing w:val="-2" w:percent="98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303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мероприятий, направленных на этнокультурное развитие наций и народностей России </w:t>
            </w:r>
            <w:r>
              <w:rPr>
                <w:color w:val="000000"/>
                <w:spacing w:val="-2" w:percent="98"/>
                <w:sz w:val="18"/>
                <w:szCs w:val="18"/>
              </w:rPr>
              <w:t>(нарастающим итогом)</w:t>
            </w:r>
            <w:r>
              <w:rPr>
                <w:sz w:val="18"/>
                <w:szCs w:val="18"/>
              </w:rPr>
            </w:r>
          </w:p>
        </w:tc>
        <w:tc>
          <w:tcPr>
            <w:tcW w:w="117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5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86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2050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13587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21890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3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303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 с привлечением иностранных граждан</w:t>
            </w:r>
          </w:p>
        </w:tc>
        <w:tc>
          <w:tcPr>
            <w:tcW w:w="117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5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3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</w:tr>
    </w:tbl>
    <w:p>
      <w:pPr>
        <w:ind w:left="142"/>
        <w:spacing/>
        <w:jc w:val="both"/>
        <w:tabs defTabSz="708">
          <w:tab w:val="left" w:pos="3544" w:leader="none"/>
        </w:tabs>
      </w:pPr>
      <w:r/>
    </w:p>
    <w:p>
      <w:pPr>
        <w:spacing/>
        <w:jc w:val="center"/>
        <w:tabs defTabSz="708">
          <w:tab w:val="left" w:pos="3544" w:leader="none"/>
        </w:tabs>
      </w:pPr>
      <w:r>
        <w:t>4. Перечень</w:t>
      </w:r>
      <w:r>
        <w:rPr>
          <w:spacing w:val="-4" w:percent="96"/>
        </w:rPr>
        <w:t xml:space="preserve"> </w:t>
      </w:r>
      <w:r>
        <w:t>мероприятий</w:t>
      </w:r>
      <w:r>
        <w:rPr>
          <w:spacing w:val="-6" w:percent="95"/>
        </w:rPr>
        <w:t xml:space="preserve"> </w:t>
      </w:r>
      <w:r>
        <w:t>(результатов)</w:t>
      </w:r>
      <w:r>
        <w:rPr>
          <w:spacing w:val="-4" w:percent="96"/>
        </w:rPr>
        <w:t xml:space="preserve"> </w:t>
      </w:r>
      <w:r>
        <w:t>комплекса</w:t>
      </w:r>
      <w:r>
        <w:rPr>
          <w:spacing w:val="-1" w:percent="99"/>
        </w:rPr>
        <w:t xml:space="preserve"> </w:t>
      </w:r>
      <w:r>
        <w:t>процессных</w:t>
      </w:r>
      <w:r>
        <w:rPr>
          <w:spacing w:val="-6" w:percent="95"/>
        </w:rPr>
        <w:t xml:space="preserve"> </w:t>
      </w:r>
      <w:r>
        <w:t>мероприятий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9"/>
        <w:tabOrder w:val="0"/>
        <w:jc w:val="center"/>
        <w:tblInd w:w="0" w:type="dxa"/>
        <w:tblW w:w="1516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62"/>
        <w:gridCol w:w="2244"/>
        <w:gridCol w:w="1624"/>
        <w:gridCol w:w="3929"/>
        <w:gridCol w:w="1133"/>
        <w:gridCol w:w="843"/>
        <w:gridCol w:w="702"/>
        <w:gridCol w:w="838"/>
        <w:gridCol w:w="834"/>
        <w:gridCol w:w="860"/>
        <w:gridCol w:w="782"/>
        <w:gridCol w:w="809"/>
      </w:tblGrid>
      <w:tr>
        <w:trPr>
          <w:tblHeader w:val="0"/>
          <w:cantSplit w:val="0"/>
          <w:trHeight w:val="404" w:hRule="atLeast"/>
        </w:trPr>
        <w:tc>
          <w:tcPr>
            <w:tcW w:w="56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pacing w:val="-33" w:percent="6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3" w:percent="60"/>
                <w:sz w:val="18"/>
                <w:szCs w:val="18"/>
                <w:lang w:eastAsia="zh-cn"/>
              </w:rPr>
            </w:r>
          </w:p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24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мероприятия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z w:val="18"/>
                <w:szCs w:val="18"/>
              </w:rPr>
            </w:r>
          </w:p>
        </w:tc>
        <w:tc>
          <w:tcPr>
            <w:tcW w:w="162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Тип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мероприятий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z w:val="18"/>
                <w:szCs w:val="18"/>
              </w:rPr>
            </w:r>
          </w:p>
        </w:tc>
        <w:tc>
          <w:tcPr>
            <w:tcW w:w="392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Характеристика</w:t>
            </w: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545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4123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Значения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мероприятия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224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62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392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15160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 w:right="198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24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мероприятий, направленных на этнокультурное развитие наций и народностей России с привлечением участников </w:t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Осуществление текущей деятельности</w:t>
            </w:r>
          </w:p>
        </w:tc>
        <w:tc>
          <w:tcPr>
            <w:tcW w:w="392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Привлечение участников к мероприятиям, направленных на положительное изменение межнациональных отношений. </w:t>
            </w:r>
          </w:p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Результатом является общее число участников в </w:t>
            </w:r>
            <w:r>
              <w:rPr>
                <w:sz w:val="18"/>
                <w:szCs w:val="18"/>
              </w:rPr>
              <w:t>мероприятиях, направленных на этнокультурное развитие наций и народностей России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3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13900</w:t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24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мероприятий, направленных на привлечение иностранных граждан</w:t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Осуществление текущей деятельности</w:t>
            </w:r>
          </w:p>
        </w:tc>
        <w:tc>
          <w:tcPr>
            <w:tcW w:w="392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Привлечение участников к мероприятиям, направленных </w:t>
            </w:r>
            <w:r>
              <w:rPr>
                <w:sz w:val="18"/>
                <w:szCs w:val="18"/>
              </w:rPr>
              <w:t>на укрепление общероссийского гражданского единства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eastAsia="zh-cn"/>
              </w:rPr>
              <w:t>Результатом является общее число</w:t>
            </w:r>
            <w:r>
              <w:rPr>
                <w:sz w:val="18"/>
                <w:szCs w:val="18"/>
                <w:lang w:eastAsia="zh-cn"/>
              </w:rPr>
              <w:t xml:space="preserve"> участников в </w:t>
            </w:r>
            <w:r>
              <w:rPr>
                <w:sz w:val="18"/>
                <w:szCs w:val="18"/>
              </w:rPr>
              <w:t>мероприятиях, направленных на привлечение иностранных граждан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3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                          №  </w:t>
      </w:r>
    </w:p>
    <w:p>
      <w:pPr>
        <w:spacing/>
        <w:jc w:val="center"/>
      </w:pPr>
      <w:r>
        <w:t>Финансовое</w:t>
      </w:r>
      <w:r>
        <w:rPr>
          <w:spacing w:val="-4" w:percent="96"/>
        </w:rPr>
        <w:t xml:space="preserve"> </w:t>
      </w:r>
      <w:r>
        <w:t>обеспечение</w:t>
      </w:r>
      <w:r>
        <w:rPr>
          <w:spacing w:val="-1" w:percent="99"/>
        </w:rPr>
        <w:t xml:space="preserve"> </w:t>
      </w:r>
      <w:r>
        <w:t>муниципальной программы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0"/>
        <w:tabOrder w:val="0"/>
        <w:jc w:val="left"/>
        <w:tblInd w:w="5" w:type="dxa"/>
        <w:tblW w:w="14274" w:type="dxa"/>
        <w:pPr>
          <w:ind w:left="5"/>
        </w:pPr>
        <w:tblLook w:val="0000" w:firstRow="0" w:lastRow="0" w:firstColumn="0" w:lastColumn="0" w:noHBand="0" w:noVBand="0"/>
      </w:tblPr>
      <w:tblGrid>
        <w:gridCol w:w="6237"/>
        <w:gridCol w:w="1370"/>
        <w:gridCol w:w="1324"/>
        <w:gridCol w:w="1280"/>
        <w:gridCol w:w="1326"/>
        <w:gridCol w:w="1290"/>
        <w:gridCol w:w="1447"/>
      </w:tblGrid>
      <w:tr>
        <w:trPr>
          <w:tblHeader w:val="0"/>
          <w:cantSplit w:val="0"/>
          <w:trHeight w:val="332" w:hRule="atLeast"/>
        </w:trPr>
        <w:tc>
          <w:tcPr>
            <w:tcW w:w="623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tabs defTabSz="708">
                <w:tab w:val="left" w:pos="667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 w:percent="6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8037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tabs defTabSz="708">
                <w:tab w:val="left" w:pos="643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Объем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37" w:hRule="atLeast"/>
        </w:trPr>
        <w:tc>
          <w:tcPr>
            <w:tcW w:w="623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zh-cn"/>
              </w:rPr>
              <w:t>Муниципальная</w:t>
            </w:r>
            <w:r>
              <w:rPr>
                <w:iCs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программа</w:t>
            </w:r>
            <w:r>
              <w:rPr>
                <w:iCs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в</w:t>
            </w:r>
            <w:r>
              <w:rPr>
                <w:iCs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том</w:t>
            </w:r>
            <w:r>
              <w:rPr>
                <w:iCs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числе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173 707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170 640,2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168 931,4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513 278,6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62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  <w:r>
              <w:rPr>
                <w:color w:val="000000"/>
              </w:rPr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  <w:r>
              <w:rPr>
                <w:color w:val="000000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23" w:hRule="atLeast"/>
        </w:trPr>
        <w:tc>
          <w:tcPr>
            <w:tcW w:w="62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161 203,0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159 056,2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157 347,4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477 606,6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 xml:space="preserve"> Комплекс процессных мероприятий «Создание условий для развития деятельности учреждений культуры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>на территории Анжеро-Судженского городского округа»</w:t>
            </w:r>
            <w:r>
              <w:rPr>
                <w:i/>
                <w:iCs/>
                <w:sz w:val="22"/>
                <w:szCs w:val="22"/>
              </w:rPr>
              <w:t xml:space="preserve"> (всего),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 w:percent="98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 w:percent="99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173 595,0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170 528,2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168 819,4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512 942,6</w:t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eastAsia="zh-cn"/>
              </w:rPr>
              <w:t>2 908,0</w:t>
            </w:r>
            <w:r/>
          </w:p>
        </w:tc>
        <w:tc>
          <w:tcPr>
            <w:tcW w:w="12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eastAsia="zh-cn"/>
              </w:rPr>
              <w:t>2 908,0</w:t>
            </w:r>
            <w:r/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161 091,0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158 944,2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157 235,4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477 270,6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 xml:space="preserve"> 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на территории Анжеро-Судженского городского округа» </w:t>
            </w:r>
            <w:r>
              <w:rPr>
                <w:i/>
                <w:iCs/>
                <w:sz w:val="22"/>
                <w:szCs w:val="22"/>
              </w:rPr>
              <w:t>(всего),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 w:percent="98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 w:percent="99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                          №  </w:t>
      </w:r>
    </w:p>
    <w:p>
      <w:pPr>
        <w:spacing/>
        <w:jc w:val="center"/>
        <w:rPr>
          <w:sz w:val="28"/>
          <w:szCs w:val="28"/>
        </w:rPr>
      </w:pPr>
      <w:r>
        <w:t>Финансовое</w:t>
      </w:r>
      <w:r>
        <w:rPr>
          <w:spacing w:val="-8" w:percent="93"/>
        </w:rPr>
        <w:t xml:space="preserve"> </w:t>
      </w:r>
      <w:r>
        <w:t>обеспечение</w:t>
      </w:r>
      <w:r>
        <w:rPr>
          <w:spacing w:val="-6" w:percent="95"/>
        </w:rPr>
        <w:t xml:space="preserve"> </w:t>
      </w:r>
      <w:r>
        <w:t>комплекса</w:t>
      </w:r>
      <w:r>
        <w:rPr>
          <w:spacing w:val="-6" w:percent="95"/>
        </w:rPr>
        <w:t xml:space="preserve"> </w:t>
      </w:r>
      <w:r>
        <w:t>процессных</w:t>
      </w:r>
      <w:r>
        <w:rPr>
          <w:spacing w:val="-9" w:percent="92"/>
        </w:rPr>
        <w:t xml:space="preserve"> </w:t>
      </w:r>
      <w:r>
        <w:t>мероприятий</w:t>
      </w: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1"/>
        <w:tabOrder w:val="0"/>
        <w:jc w:val="center"/>
        <w:tblInd w:w="0" w:type="dxa"/>
        <w:tblW w:w="1349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983"/>
        <w:gridCol w:w="1156"/>
        <w:gridCol w:w="1147"/>
        <w:gridCol w:w="1145"/>
        <w:gridCol w:w="1043"/>
        <w:gridCol w:w="1021"/>
        <w:gridCol w:w="1995"/>
      </w:tblGrid>
      <w:tr>
        <w:trPr>
          <w:tblHeader w:val="0"/>
          <w:cantSplit w:val="0"/>
          <w:trHeight w:val="675" w:hRule="atLeast"/>
        </w:trPr>
        <w:tc>
          <w:tcPr>
            <w:tcW w:w="598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Наименование</w:t>
            </w:r>
            <w:r>
              <w:rPr>
                <w:spacing w:val="-7" w:percent="9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pacing w:val="-7" w:percent="9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/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источник</w:t>
            </w:r>
            <w:r>
              <w:rPr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7507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Объем финансового обеспечения 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455" w:hRule="atLeast"/>
        </w:trPr>
        <w:tc>
          <w:tcPr>
            <w:tcW w:w="598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/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2029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2030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Комплекс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процессных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мероприятий</w:t>
            </w:r>
            <w:r>
              <w:rPr>
                <w:b/>
                <w:iCs/>
                <w:color w:val="000000"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Создание условий для развития деятельности учреждений культуры на территории Анжеро-Судженского городского округа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»</w:t>
            </w:r>
            <w:r>
              <w:rPr>
                <w:b/>
                <w:iCs/>
                <w:color w:val="000000"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(всего),</w:t>
            </w:r>
            <w:r>
              <w:rPr>
                <w:b/>
                <w:iCs/>
                <w:color w:val="000000"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том</w:t>
            </w:r>
            <w:r>
              <w:rPr>
                <w:b/>
                <w:iCs/>
                <w:color w:val="000000"/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числе: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173 595,0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170 528,2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168 819,4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512 942,6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35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161 091,0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158 944,2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157 235,4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477 270,6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cyan"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Задача №1 «Создание условий для сохранения качества и интенсивности культурной жизни, обеспечение равного доступа жителей к культурным ценностям», всего, в том числе:</w:t>
            </w:r>
            <w:r>
              <w:rPr>
                <w:highlight w:val="cyan"/>
                <w:i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222"/>
              <w:widowControl w:val="0"/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  <w:t>Мероприятие:</w:t>
            </w:r>
            <w:r>
              <w:rPr>
                <w:color w:val="000000"/>
                <w:sz w:val="22"/>
                <w:szCs w:val="22"/>
                <w:u w:color="auto" w:val="single"/>
              </w:rPr>
              <w:t xml:space="preserve"> Осуществление мероприятий по определению технического состояния объектов и выявлена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  <w:r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35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 xml:space="preserve">Мероприятие: Развитие управления в сфере культуры 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yellow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highlight w:val="yellow"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highlight w:val="cyan"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Задача №2</w:t>
            </w:r>
            <w:r>
              <w:rPr>
                <w:i/>
                <w:iCs/>
                <w:color w:val="000000"/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«</w:t>
            </w:r>
            <w:r>
              <w:rPr>
                <w:i/>
                <w:color w:val="000000"/>
                <w:sz w:val="22"/>
                <w:szCs w:val="22"/>
              </w:rPr>
              <w:t>Увеличение числа посещений организаций культуры</w:t>
            </w:r>
            <w:r>
              <w:rPr>
                <w:i/>
                <w:color w:val="000000"/>
                <w:kern w:val="1"/>
                <w:sz w:val="22"/>
                <w:szCs w:val="22"/>
              </w:rPr>
              <w:t xml:space="preserve">»,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всего,</w:t>
            </w:r>
            <w:r>
              <w:rPr>
                <w:i/>
                <w:iCs/>
                <w:color w:val="000000"/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i/>
                <w:iCs/>
                <w:color w:val="000000"/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том</w:t>
            </w:r>
            <w:r>
              <w:rPr>
                <w:i/>
                <w:iCs/>
                <w:color w:val="000000"/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числе:</w:t>
            </w:r>
            <w:r>
              <w:rPr>
                <w:highlight w:val="cyan"/>
                <w:i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143 182,8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140 161,9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138 693,1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422 037,8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числа посещений муниципальных учреждений культуры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  <w:r>
              <w:rPr>
                <w:color w:val="000000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9 380,7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656,7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посещаемости музейных учреждений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8 930,5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8 410,0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8 387,5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25 728,0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7 895,5,0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7 675,0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7 652,5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23 223,0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1 035,0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2 505,0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посещаемости муниципальных библиотек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29 903,2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29 622,8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29 517,8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89 043,8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2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29 384,2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29 223,8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29 118,8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87 766,4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519,0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1 317,0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увеличение количества участников клубных формирований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101 222,2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99 002,2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97 660,9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297 885,3</w:t>
            </w:r>
          </w:p>
        </w:tc>
      </w:tr>
      <w:tr>
        <w:trPr>
          <w:tblHeader w:val="0"/>
          <w:cantSplit w:val="0"/>
          <w:trHeight w:val="171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3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93 180,2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91 460,2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90 118,9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274 628,0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8 042,0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7 542,0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7 542,0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61351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23 126,0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1"/>
      <w:type w:val="nextPage"/>
      <w:pgSz w:h="11906" w:w="16838" w:orient="landscape"/>
      <w:pgMar w:left="1418" w:top="851" w:right="1134" w:bottom="1701" w:header="0" w:foot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DejaVu Sans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4"/>
    <w:lvl w:ilvl="0">
      <w:start w:val="2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5">
    <w:multiLevelType w:val="hybridMultilevel"/>
    <w:name w:val="Нумерованный список 3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ind w:left="0" w:hanging="0"/>
      </w:pPr>
      <w:rPr>
        <w:color w:val="ff0000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color w:val="ff0000"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color w:val="ff0000"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color w:val="ff0000"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color w:val="ff0000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color w:val="ff0000"/>
      </w:rPr>
    </w:lvl>
  </w:abstractNum>
  <w:abstractNum w:abstractNumId="7">
    <w:multiLevelType w:val="hybridMultilevel"/>
    <w:name w:val="Нумерованный список 5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0"/>
      <w:tmLastPosIdx w:val="59"/>
    </w:tmLastPosCaret>
    <w:tmLastPosAnchor>
      <w:tmLastPosPgfIdx w:val="0"/>
      <w:tmLastPosIdx w:val="0"/>
    </w:tmLastPosAnchor>
    <w:tmLastPosTblRect w:left="0" w:top="0" w:right="0" w:bottom="0"/>
  </w:tmLastPos>
  <w:tmAppRevision w:date="1782361351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gasu.gov.ru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61</cp:revision>
  <cp:lastPrinted>2026-06-04T02:27:00Z</cp:lastPrinted>
  <dcterms:created xsi:type="dcterms:W3CDTF">2026-02-03T08:15:00Z</dcterms:created>
  <dcterms:modified xsi:type="dcterms:W3CDTF">2026-06-25T04:22:31Z</dcterms:modified>
</cp:coreProperties>
</file>